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34202F9A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2D6633" w:rsidRPr="002D6633">
        <w:rPr>
          <w:rFonts w:ascii="Arial" w:hAnsi="Arial" w:cs="Arial"/>
          <w:bCs/>
          <w:sz w:val="20"/>
          <w:szCs w:val="20"/>
        </w:rPr>
        <w:t>NABAVA ENERGIJSKO UČINKOVITIH KLIMATSKIH NAPRAV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F62B47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7074815F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2D6633" w:rsidRPr="002D6633">
      <w:rPr>
        <w:rFonts w:ascii="Arial" w:hAnsi="Arial" w:cs="Arial"/>
        <w:i/>
        <w:snapToGrid w:val="0"/>
        <w:sz w:val="20"/>
        <w:szCs w:val="20"/>
      </w:rPr>
      <w:t>Nabava energijsko učinkovitih 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gc88w5OtTiHrTmuxAjTcEscQimhncL9XBT8xPJUMH8ssukNoakaEJLKmCfwdLtGOxPaWDfwo6blYgBCfxaD0g==" w:salt="MpAVUqMnuAST8E3Jg6VEwA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D0CD3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2B47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2024-05-16T06:41:00Z</dcterms:created>
  <dcterms:modified xsi:type="dcterms:W3CDTF">2024-05-16T06:53:00Z</dcterms:modified>
</cp:coreProperties>
</file>